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8" w:rsidRPr="008322DB" w:rsidRDefault="001254A8" w:rsidP="001254A8">
      <w:pPr>
        <w:jc w:val="both"/>
        <w:rPr>
          <w:rFonts w:ascii="Times New Roman" w:eastAsia="Times New Roman" w:hAnsi="Times New Roman"/>
          <w:b/>
          <w:bCs/>
          <w:lang w:eastAsia="sr-Latn-CS"/>
        </w:rPr>
      </w:pPr>
      <w:proofErr w:type="spellStart"/>
      <w:r w:rsidRPr="008322DB">
        <w:rPr>
          <w:rFonts w:ascii="Times New Roman" w:hAnsi="Times New Roman"/>
          <w:b/>
          <w:bCs/>
          <w:lang w:val="en-US"/>
        </w:rPr>
        <w:t>Листа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опреме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у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власништву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високошколске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установе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која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се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користи</w:t>
      </w:r>
      <w:proofErr w:type="spellEnd"/>
      <w:r w:rsidRPr="008322DB">
        <w:rPr>
          <w:rFonts w:ascii="Times New Roman" w:hAnsi="Times New Roman"/>
          <w:b/>
          <w:bCs/>
        </w:rPr>
        <w:t xml:space="preserve"> </w:t>
      </w:r>
      <w:r w:rsidRPr="008322DB">
        <w:rPr>
          <w:rFonts w:ascii="Times New Roman" w:hAnsi="Times New Roman"/>
          <w:b/>
          <w:bCs/>
          <w:lang w:val="en-US"/>
        </w:rPr>
        <w:t xml:space="preserve">у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наставном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процесу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и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научноистраживачком</w:t>
      </w:r>
      <w:proofErr w:type="spellEnd"/>
      <w:r w:rsidRPr="008322D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322DB">
        <w:rPr>
          <w:rFonts w:ascii="Times New Roman" w:hAnsi="Times New Roman"/>
          <w:b/>
          <w:bCs/>
          <w:lang w:val="en-US"/>
        </w:rPr>
        <w:t>раду</w:t>
      </w:r>
      <w:proofErr w:type="spellEnd"/>
    </w:p>
    <w:p w:rsidR="001254A8" w:rsidRPr="008322DB" w:rsidRDefault="001254A8" w:rsidP="001254A8">
      <w:pPr>
        <w:rPr>
          <w:rFonts w:ascii="Times New Roman" w:hAnsi="Times New Roman"/>
          <w:sz w:val="20"/>
          <w:szCs w:val="20"/>
          <w:lang/>
        </w:rPr>
      </w:pPr>
    </w:p>
    <w:tbl>
      <w:tblPr>
        <w:tblW w:w="8550" w:type="dxa"/>
        <w:tblInd w:w="131" w:type="dxa"/>
        <w:tblLayout w:type="fixed"/>
        <w:tblLook w:val="0400"/>
      </w:tblPr>
      <w:tblGrid>
        <w:gridCol w:w="1236"/>
        <w:gridCol w:w="4990"/>
        <w:gridCol w:w="2324"/>
      </w:tblGrid>
      <w:tr w:rsidR="001254A8" w:rsidRPr="008322DB" w:rsidTr="000C13A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Редни</w:t>
            </w:r>
          </w:p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број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Опрема-опис, спецификација, намена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Број 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Рачунари у две информатичке лабораторије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1.Лаптоп DELL INSP N411Z, 2017,  LT040103,sopstvena;2.Лаптоп LENOVO,  2017,   LT020101,  сопствена; 3. Лаптоп DELL INSP N411Y,  2017,   LT020155,  сопствена; 4.Лаптоп ACCER E-15, 2016, LT020101 сопствена; 5. Лаптоп DELL XPSi7, 2017,  LT040101, сопствена;  6. Лаптоп VOSTRO V13, 2016,  LT040102 сопствена; 7.  Лаптоп DELL INSP N411Z, 2017,   LT030101 сопствена; 8. Лаптоп DELL INSP N411Z, 2017,  LT030102,  сопствена; 9. Лаптоп ACER ASPIRE E15, 2017, LT020104, сопствена; 10. PC A68-X2, 2017, PC020103, сопствена; 11. PC A6-3550, 2017,  PC020108, сопствена;12. PC INTEL, 2018   PC010102 ,  сопствена;13. PC A6-3550,  2017,  PC040119, сопствена; 14. PC AMD ATHLON X2, 2017,  PC040116 ,  сопствена;15. PC AMD A4-4020, 2017, PC030115, сопствена; 16.PC 15-3470,  2017,  PC020113 ,  сопствена; 17. PC IP 3470,  2017,   PC020114 ,  сопствена;18.  PC IP 3470,  2017,  PC020115 ,  сопствена;19.  PC IP 3470,  2017  PC020116 ,  сопствена; 20. PC IP 3470,  2017  PC020117 ,  сопствена; 21. PC IP 3470, 2017  PC020118 ,  сопствена;22.  PC INTEL CORE 13-4170, 2017 PC010106,  сопствена;23. PC AMD A4-4020,  2017  PC040108 ,  сопствена;24. PC AMD A44020, 2017   PC040109 ,  сопствена; 25. PC AMD A4 4020, 2017, PC040110, сопствена; 26. PC AMD A4 4020,  2017  PC040111 ,  сопствена; 27.  PC AMD A4 4020,  2017   PC040112 ,  сопствена; 28. PC AMD A4 4020, 2017, PC040113, сопствена; 29. PC AMD A4 4020,2017   PC040114, сопствена; 30. PC AMD A4 4020, 2017   PC040115,  сопствена;31. PC AMD A4 4020, 2017   PC040116 ,  сопствена; 32.PC AMD A4 4020, 2017  PC040117 ,  сопствена; 33.PC AMD A4 4020, 2017   PC040118 ,  сопствена;  34. PC INTEL CORE I5-4460, 2016   PC050102 ,  сопствена;35. PC INTEL PENTIUM G20, 2016   PC010109 ,  сопствена; 36. PC SEMPRON LE1250, 2016    PC030101,  сопствена; 37. PC I3,  2016    PC040102 ,  сопствена; 38. PC AMD A4-4020,  2017    PC030110 ,  сопствена; 40. PC INTEL CORE I5-4460, 2017 PC050117,  сопствена;41.PC INTEL CORE I5-4590,  2017    PC050109 ,  сопствена;42 PC AMD A44020, 2017   PC020110, сопствена; 43. PC AMD 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A44020, 2017   PC020111, сопствена; 44. PC AMD A44020, 2017   PC020112, сопствена;45.PC MS Industrijal, 2016, PC020113, сопствена, 46.PC MS Industrijal, 2016, PC020114, сопствена, 47.PC MS Industrijal, 2016, PC020115, сопствена, 48.PC MS Industrijal, 2016, PC020116, сопствена, 49. PC INTEL PENTIUM G20, 2016   PC020117 ,  сопствена; 50. PC INTEL PENTIUM G20, 2016   PC020118 ,  сопствена;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50</w:t>
            </w:r>
          </w:p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2.        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Рачунари у кабинетима наставника и сарадника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LAPTOP LENOVO, 2017.,  LT020101,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2. LAPTOP DELL INSP N411Y, 2017.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 LT020905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 3.  LAPTOP ACCER E-15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 2016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.,  LT020910,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; 4.  LAPTOP DELL XPS i7, 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2017.,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  LT040909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; 5.  LAPTOP VOSTRO V13, 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2016.,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  LT040902,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 6.  LAPTOP DELL INSP N411Z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 2017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.,  LT030902,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; 7. LAPTOP DELL INSP 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N411Z  2017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.,  LT030903,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 8.  LAPTOP ACER 2017.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 LT020905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 9. LAPTOP HP 15, 2017.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 LH010907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; 10.  LAPTOP HP 15,  2017.,  LH010903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; 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3.        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Рачунари у салама за предавања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1. Лаптоп DELL INSP N411Y,  2017,   LT070155,  сопствена; 2.Лаптоп ACCER E-15, 2016, LT070101 сопствена; 3. Лаптоп DELL XPSi7, 2017,  LT070101, сопствена;  4. Лаптоп VOSTRO V13, 2016,  LT070102 сопствена; 5.  Лаптоп DELL INSP N411Z, 2017,   LT070101 сопствена; 6. Лаптоп DELL INSP N411Z, 2017,  LT070102,  сопствена; 7. Лаптоп ACER ASPIRE E15, 2017, LT070104, сопствена; 8. PC A68-X2, 2017, PC070103, сопствена; 9. PC A6-3550, 2017,  PC070108, сопствена;10. PC INTEL, 2018   PC070102 ,  сопствена;11. PC A6-3550,  2017,  PC070119, сопствена; 12. PC AMD ATHLON X2, 2017,  PC070116 ,  сопствена;13. PC AMD A4-4020, 2017, PC070115, сопствена; 14.PC 15-3470,  2017,  PC070113 ,  сопствена; 15. PC IP 3470,  2017,   PC070114 ,  сопствена;18.  PC IP 3470,  2017,  PC070115 ,  сопствена;16.  PC IP 3470,  2017  PC070116 ,  сопствена; 17. PC IP 3470,  2017  PC020117 ,  сопствена; 18. PC IP 3470, 2017  PC020118 ,  сопствена; 19.  PC INTEL CORE 13-4170, 2017 PC070106,  сопствена; 20. PC AMD A4-4020,  2017  PC070108 ,  сопствена;21. PC AMD A44020, 2017   PC070109 ,  сопствена; 22. PC AMD A4 4020, 2017, PC070110, сопствена; 23. PC AMD A4 4020,  2017  PC070111 ,  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сопствена; 24.  PC AMD A4 4020,  2017   PC070112 ,  сопствена; 25. PC AMD A4 4020, 2017, PC070113, сопствена; 26. PC AMD A4 4020,2017   PC070114, сопствена; 27. PC AMD A4 4020, 2017   PC070115,  сопствена;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27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4.        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ТВ плазме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1.TV LG LCD, 2016,TV020107, сопствена; 2. TV LG CRNI, 2017   3. TV020101сопствена; 4. TV TOUCH VIVID, 2016, 5. TV070112 сопствена; 6.TV LG42LD, 2016, 7.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TV LG LCD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TV020101 сопствена, TV010102 , сопствена, 8.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TV LG LCD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 TV020106,сопствена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TV LG LCD,  2016.,   TV020107,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 TV LG CRNI, 2017.,   TV020101,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 TV TOUCH VIVID,  2016.,   TV070112,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  TV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60, 2018., TV010213, сопствена13. TV 60, 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2018.,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TV0200301,  сопствена14.TV 60, 2018., TV0200302,  сопствена15.TV 60, 2018., TV0200303,  сопствена16. TV 60, 2018., TV0200304,  сопствена17.TV 60, 2018., TV0200305,  сопствена18.TV 60, 2018., TV0200306,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19.TV 60, 2018., TV0200307,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20.TV 60, 2018., TV0200308,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21.TV 60, 2018., TV0200309,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22.TV 60, 2018., TV0200310,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26.TV 60, 2018., TV0200311,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24.TV 60, 2018., TV0200312,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25.TV 60, 2018., TV0200313,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26.TV 60, 2018., TV0200314,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27.TV 60, 2018., TV0200315,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28.TV 60, 2018., TV0200316,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29.TV 60, 2018., TV0200317,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30.TV 60, 2018., TV0200318,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31.TV 60, 2018., TV0200319,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32.TV 60, 2018., TV0200320,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33.TV 60, 2018., TV0200321,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34.TV 60, 2018., TV0200322,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35.TV 60, 2018., TV0200323, 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36. TV LG LCD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 2016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.,   TV0200324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 37.TV LG LCD,  2016.,   TV0200325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. 38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.TV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LG LCD,  2016.,   TV0200326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. 39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.TV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LG LCD,  2016.,   TV0200327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. 40.TV LG LCD,  2016.,   TV0200328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40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5.        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Видео пројектори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Пројектор SONY VPL DX220,  2017,  PR031108 ,  сопствена;. Пројектор BENQ MS506 , 2016   PR040115 ,  сопствена; Пројектор BENQ MS506   2016    PR010103 сопствена;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6.        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Табле:Интерактивне табле, електронске, магнетске, обичне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1.Tabla interaktivna elektronska 800004, 2017,sopstvena; 2 Tabla interaktivna elektronska 800005,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3. Tabla pokretna, 800071,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 Tabla bela školska, 800031,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5. Tabla bela školska, 800035,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6. Tabla bela školska, 800153,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7..Tabla bela školska, 800165,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8.Tabla bela školska, 800172,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9.Tabla zelena školska, 800189,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10.Tabla zelena školska, 800196, 2017,sopstvena;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11.Tabla crna školska, 800218, 2017,sopstvena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12 Tabla pokretna, 801071,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13 Tabla pokretna, 801072, 2017,sopstvena; 14.Tabla bela školska, 810031, 2017,sopstvena; 15 Tabla bela školska, 810035, 2017,sopstvena; 16 Tabla bela školska, 810153,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17 Tabla bela školska, 800185,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18.Tabla bela školska, 810172, 2017,sopstvena; 19 Tabla bela školska, 800186, 2017,sopstvena; 20 Tabla bela školska, 800187, 2017,sopstvena; 21 Tabla bela školska, 800188, 2017,sopstvena; 22 Tabla bela školska, 800189, 2017,sopstvena; 23 Tabla bela školska, 800190, 2017,sopstvena; 24 Tabla bela školska, 800191, 2017,sopstvena; 25 Tabla bela školska, 800192, 2017,sopstvena; 26 Tabla bela školska, 800193, 2017,sopstvena; 27 Tabla bela školska, 800194, 2017,sopstvena; 28 Tabla bela školska, 800195, 2017,sopstvena; 29 Tabla bela školska, 800196, 2017,sopstvena; 30 Tabla bela školska, 800197, 2017,sopstvena; 31 Tabla bela školska, 800198, 2017,sopstvena; 32 Tabla bela školska, 800199, 2017,sopstvena;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32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7.        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Софтвер:Turnitin Ephorus-софтвер за проверу аутентичности и детекцију плагијата;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8.        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Webex – платформа за даљинску комуникацију;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tabs>
                <w:tab w:val="left" w:pos="945"/>
                <w:tab w:val="center" w:pos="1054"/>
              </w:tabs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9.     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GoToMeeting - платформа за даљинску комуникацију;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15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10.     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Flipping Book Publisher апликација- апликација за дигитализацију штампаних издања, 2013;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11.     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E-indeks веб-платформа, 2009;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tabs>
                <w:tab w:val="left" w:pos="975"/>
                <w:tab w:val="center" w:pos="1054"/>
              </w:tabs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</w:tr>
      <w:tr w:rsidR="001254A8" w:rsidRPr="008322DB" w:rsidTr="000C13A1">
        <w:trPr>
          <w:trHeight w:val="23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12.     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E-indeks Android апликација, 2013;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13.     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Audio i video oprema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1.Аудио комплет JBS WMX500R, 2017, AU010102, сопствена; 2.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 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010127, сопствена;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010128, сопствена;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PREDPOJA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W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2018., 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PJ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010903 сопствена;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70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W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, 2018.,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PJ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010202 сопствена;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010901 сопствена;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VIDEO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2018.,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MV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010901 сопствена;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7.AUDIO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KOMPLET GEMINI    2017.,   AU010901 </w:t>
            </w:r>
            <w:proofErr w:type="spellStart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сопствена</w:t>
            </w:r>
            <w:proofErr w:type="spellEnd"/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; 8. 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Аудио комплет JBS WMX500R, 2017, AU010103, сопствена; 9.Аудио комплет JBS WMX500R, 2017, AU010104, сопствена; 10 Аудио комплет JBS WMX500R, 2017, AU010105, сопствена; 11. Аудио комплет JBS WMX500R, 2017, AU010106, сопствена; 12.Аудио комплет JBS WMX500R, 2017, AU010107, сопствена; 13.Аудио комплет JBS WMX500R, 2017, AU010108, сопствена; 14.Аудио комплет JBS WMX500R, 2017, AU010109, сопствена; 15.Аудио комплет JBS WMX500R, 2017, AU010110, сопствена; 16.Аудио комплет JBS WMX500R, 2017, AU010111, сопствена; 17.Аудио комплет JBS WMX500R, 2017, AU010112, сопствена; 18.Аудио комплет JBS WMX500R, 2017, AU010113, сопствена; 19.Аудио комплет JBS WMX500R, 2017, AU010114, сопствена; 20. Аудио комплет JBS WMX500R, 2017, AU010115, сопствена; 21.Аудио комплет JBS WMX500R, 2017, AU010116, сопствена; 23.Аудио комплет JBS WMX500R, 2017, AU010117, сопствена; 24.Аудио комплет JBS WMX500R, 2017, AU010118, сопствена;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25 .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0101290.26.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01012913.26.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0101292.28.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0101293.29.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0101294.30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0101295 31.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010911 сопствена 32.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010912 сопствена 33.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010913 сопствена34.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</w:t>
            </w:r>
            <w:proofErr w:type="gramStart"/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2018.,</w:t>
            </w:r>
            <w:proofErr w:type="gramEnd"/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010914 сопствена 35.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010915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сопствена 36.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010916 сопствена 37.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010917 сопствена 38.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010918 сопствена 39.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Аудио комплет JBS WMX500R, 2017, AU010119,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010129041.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010931 сопствена 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42.Аудио комплет JBS WMX500R, 2017, AU010133, сопствена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43.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010129044.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010920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45.Аудио комплет JBS WMX500R, 2017, AU010120, сопствена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46.POJA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0101290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47.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010932 сопствена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Аудио комплет JBS WMX500R, 2017, AU010121,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48.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010129949.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010934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50.Аудио комплет JBS WMX500R, 2017, AU010122,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51.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POJA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ALO CEOPA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0101298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52.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010935 сопствена 53.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010936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54.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010937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55.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010938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56.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010939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57.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010940 сопствена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58.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MIKSETA AUDIO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 2018.,   </w:t>
            </w:r>
            <w:r w:rsidRPr="008322D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</w:t>
            </w:r>
            <w:r w:rsidRPr="008322DB">
              <w:rPr>
                <w:rFonts w:ascii="Times New Roman" w:hAnsi="Times New Roman"/>
                <w:sz w:val="20"/>
                <w:szCs w:val="20"/>
                <w:lang w:eastAsia="en-US"/>
              </w:rPr>
              <w:t>010941 сопствена 59.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Аудио комплет JBS WMX500R, 2017, AU010301, сопствена 60.Аудио комплет JBS WMX500R, 2017, AU010302, сопствена 61. Аудио комплет JBS WMX500R, 2017, AU010303, сопствена 62.Аудио комплет JBS WMX500R, 2017, AU010304, сопствена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62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14.     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Детектор присуства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SC1484, 2016.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DP0201001,2016,sopstvena. DP0201002,2016,sopstvena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15.     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Штампач за ИД картице, 2017.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SC0205001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tabs>
                <w:tab w:val="left" w:pos="975"/>
                <w:tab w:val="center" w:pos="1054"/>
              </w:tabs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16.     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РФИД читачи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1.Čitač indeksa CI0118001.sopstvena,2.Čitač indeksa CI0118002.sopstvena,3.Čitač indeksa CI0118003.sopstvena,4.Čitač indeksa CI0118004.sopstvena,5.Čitač indeksa CI0118005.sopstvena,6.Čitač indeksa CI0118006.sopstvena,7.Čitač indeksa 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CI0118007.sopstvena,8.Čitač indeksa CI0118008.sopstvena,9.Čitač indeksa CI0118009.sopstvena,10.Čitač indeksa CI0118010.sopstvena,11.Čitač indeksa CI0118011.sopstvena,12.Čitač indeksa CI0118012.sopstvena,13.Čitač indeksa CI0118013.sopstvena,14.Čitač indeksa CI0118014.sopstvena,15.Čitač indeksa CI0118015.sopstvena,16.Čitač indeksa CI0118016.sopstvena,17.Čitač indeksa CI0118017.sopstvena,18.Čitač indeksa CI0118018.sopstvena,19.Čitač indeksa CI0118019.sopstvena,20.Čitač indeksa CI0118020.sopstvena,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20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17.     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НФЦ писачи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1.Pisač PI030202,2017, sopstvena,2.  Pisač PI030203,2017, sopstvena, Pisač PI030204,2017, sopstvena, Pisač PI030205,2017, sopstvena, Pisač PI030206,2017, sopstvena,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tabs>
                <w:tab w:val="left" w:pos="975"/>
                <w:tab w:val="center" w:pos="1054"/>
              </w:tabs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18.     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Модул за безконтактно електронско очитавање евиденције присуства студента (НФЦ РФИД) – 2018.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19.     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Skeneri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 Скенер CANON 9000F,2016    SC010107сопствена; 2. Скенер, 2016    SC010108 сопствена;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bookmarkStart w:id="0" w:name="_heading=h.gjdgxs"/>
            <w:bookmarkEnd w:id="0"/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20.     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b/>
                <w:sz w:val="20"/>
                <w:szCs w:val="20"/>
                <w:lang/>
              </w:rPr>
              <w:t>Штампачи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1.  ŠTAMPAČ CANON IR 2520,    2017.,   SC020901 сопствена;2  ŠTAMPAČ CANON IRC50301, 2017.,  SC040902 сопствена;сопствена;3.  ŠTAMPAČ CANON IR2016., 2017.,  SC0109015   сопствена; 4.  ŠTAMPAČ CANON IR 2520,    2017.,   SC020904 сопствена; 5.ŠTAMPAČ CANON IR 2520,    2017.,   SC020905 сопствена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21.     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Фотокопир APAQ.IR2520,  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1.FK020115,2014,sopstvena;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</w:tr>
      <w:tr w:rsidR="001254A8" w:rsidRPr="008322DB" w:rsidTr="000C13A1">
        <w:tc>
          <w:tcPr>
            <w:tcW w:w="12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54A8" w:rsidRPr="008322DB" w:rsidRDefault="001254A8" w:rsidP="000C13A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22.     </w:t>
            </w:r>
          </w:p>
        </w:tc>
        <w:tc>
          <w:tcPr>
            <w:tcW w:w="4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Машина за коричење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</w:t>
            </w:r>
            <w:hyperlink r:id="rId5" w:tooltip="MultiPerf 32 - Profesionalna Mašina za Koričenje" w:history="1">
              <w:r w:rsidRPr="008322DB">
                <w:rPr>
                  <w:rStyle w:val="grid-name"/>
                  <w:rFonts w:ascii="Times New Roman" w:hAnsi="Times New Roman"/>
                  <w:caps/>
                  <w:sz w:val="20"/>
                  <w:szCs w:val="20"/>
                  <w:bdr w:val="none" w:sz="0" w:space="0" w:color="auto" w:frame="1"/>
                  <w:lang/>
                </w:rPr>
                <w:t>MULTIPERF 32</w:t>
              </w:r>
            </w:hyperlink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MK010001 2.</w:t>
            </w:r>
            <w:hyperlink r:id="rId6" w:tooltip="MultiPerf 32 - Profesionalna Mašina za Koričenje" w:history="1">
              <w:r w:rsidRPr="008322DB">
                <w:rPr>
                  <w:rStyle w:val="grid-name"/>
                  <w:rFonts w:ascii="Times New Roman" w:hAnsi="Times New Roman"/>
                  <w:caps/>
                  <w:sz w:val="20"/>
                  <w:szCs w:val="20"/>
                  <w:bdr w:val="none" w:sz="0" w:space="0" w:color="auto" w:frame="1"/>
                  <w:lang/>
                </w:rPr>
                <w:t>MULTIPERF 32</w:t>
              </w:r>
            </w:hyperlink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MK010002 3.</w:t>
            </w:r>
            <w:hyperlink r:id="rId7" w:tooltip="MultiPerf 32 - Profesionalna Mašina za Koričenje" w:history="1">
              <w:r w:rsidRPr="008322DB">
                <w:rPr>
                  <w:rStyle w:val="grid-name"/>
                  <w:rFonts w:ascii="Times New Roman" w:hAnsi="Times New Roman"/>
                  <w:caps/>
                  <w:sz w:val="20"/>
                  <w:szCs w:val="20"/>
                  <w:bdr w:val="none" w:sz="0" w:space="0" w:color="auto" w:frame="1"/>
                  <w:lang/>
                </w:rPr>
                <w:t>MULTIPERF 32</w:t>
              </w:r>
            </w:hyperlink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 MK010003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</w:tr>
    </w:tbl>
    <w:p w:rsidR="001254A8" w:rsidRPr="008322DB" w:rsidRDefault="001254A8" w:rsidP="001254A8">
      <w:pPr>
        <w:ind w:right="714"/>
        <w:jc w:val="both"/>
        <w:rPr>
          <w:rFonts w:ascii="Times New Roman" w:hAnsi="Times New Roman"/>
          <w:sz w:val="20"/>
          <w:szCs w:val="20"/>
          <w:lang/>
        </w:rPr>
      </w:pPr>
    </w:p>
    <w:p w:rsidR="001254A8" w:rsidRPr="008322DB" w:rsidRDefault="001254A8" w:rsidP="001254A8">
      <w:pPr>
        <w:ind w:right="714"/>
        <w:jc w:val="both"/>
        <w:rPr>
          <w:rFonts w:ascii="Times New Roman" w:hAnsi="Times New Roman"/>
          <w:sz w:val="20"/>
          <w:szCs w:val="20"/>
          <w:lang/>
        </w:rPr>
      </w:pPr>
      <w:r w:rsidRPr="008322DB">
        <w:rPr>
          <w:rFonts w:ascii="Times New Roman" w:hAnsi="Times New Roman"/>
          <w:sz w:val="20"/>
          <w:szCs w:val="20"/>
          <w:lang/>
        </w:rPr>
        <w:t xml:space="preserve">Опрема- детаљан опис, спецификација, број, намена у  </w:t>
      </w:r>
      <w:r w:rsidRPr="008322DB">
        <w:rPr>
          <w:rFonts w:ascii="Times New Roman" w:hAnsi="Times New Roman"/>
          <w:color w:val="222222"/>
          <w:sz w:val="20"/>
          <w:szCs w:val="20"/>
          <w:lang/>
        </w:rPr>
        <w:t>ВЈ ФПСП у  Трстенику</w:t>
      </w:r>
    </w:p>
    <w:p w:rsidR="001254A8" w:rsidRPr="008322DB" w:rsidRDefault="001254A8" w:rsidP="001254A8">
      <w:pPr>
        <w:rPr>
          <w:rFonts w:ascii="Times New Roman" w:hAnsi="Times New Roman"/>
          <w:sz w:val="20"/>
          <w:szCs w:val="20"/>
          <w:lang/>
        </w:rPr>
      </w:pPr>
    </w:p>
    <w:tbl>
      <w:tblPr>
        <w:tblW w:w="9450" w:type="dxa"/>
        <w:tblInd w:w="22" w:type="dxa"/>
        <w:tblLayout w:type="fixed"/>
        <w:tblLook w:val="0400"/>
      </w:tblPr>
      <w:tblGrid>
        <w:gridCol w:w="236"/>
        <w:gridCol w:w="509"/>
        <w:gridCol w:w="338"/>
        <w:gridCol w:w="5155"/>
        <w:gridCol w:w="2329"/>
        <w:gridCol w:w="883"/>
      </w:tblGrid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254A8" w:rsidRPr="008322DB" w:rsidRDefault="001254A8" w:rsidP="000C13A1">
            <w:pPr>
              <w:ind w:left="-141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Редни</w:t>
            </w:r>
          </w:p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број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Назив опреме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Број 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Информатичке лабораторије/учионице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1.1.  PC-Dell6004101,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1.2.  PC-Dell6004102,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1.3.  PC-Dell6004103,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1.4.  PC-Dell6004104,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1.5.  PC-Dell6004105,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1.6.  PC-Dell6004106,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1.7.  PC-Dell6004107,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1.8.  PC-Dell6004108,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1.9.  PC-Dell6004109,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1.10.  PC-Dell60041010 ,2017,sopstvena;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1.11.  PC-Dell60041011 ,2017,sopstvena;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1.12.  PC-Dell60041012,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1.13.  PC 6000091,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1.14.  PC 6000092,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1.15.  PC 600023,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1.16.  PC 6001681,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1.17.  PC 6001682,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1.18.  PC 6001683,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1.19.  PC 6001684,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1.20.  PC 6001685, 2017,sopstvena.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                20</w:t>
            </w:r>
          </w:p>
        </w:tc>
      </w:tr>
      <w:tr w:rsidR="001254A8" w:rsidRPr="008322DB" w:rsidTr="000C13A1">
        <w:trPr>
          <w:gridAfter w:val="5"/>
          <w:wAfter w:w="9377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1254A8" w:rsidRPr="008322DB" w:rsidTr="000C13A1">
        <w:trPr>
          <w:gridAfter w:val="5"/>
          <w:wAfter w:w="9377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Рачунари у салама за предавања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4.1.  PC 6001591,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4.2.  PC 6001592,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4.3.  PC 6001593,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4.4.  PC 6001594, 2017,sopstvena.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4.5.  PC 600081,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4.6.  PC 600071,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4.7.  PC 600042,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4.8.  PC 600258, 2017,sopstvena.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                   8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ТВ плазме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  Televizor LG,  600403,  2017,sopstvena;2.  Televizor LG,  600356,  2017,sopstvena; 3.  Televizor LG,  600349,  2017,sopstvena; 4.  Televizor LG,  600325, 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5.  Televizor LG,  600315,  2017,sopstvena; 6.  Televizor LCD,  600302,  2017,sopstvena;7.  Televizor LCD,  600289,  2017,sopstvena;8.  Televizor LCD,  600243,  2017, sopstvena; 9.  Televizor LCD,  600237,  2017,sopstvena; 10.  Televizor LCD,  600190,  2017,sopstvena; 11.  Televizor LCD,  600173,  2017,sopstvena; 12.  Televizor LCD,  600166,  2017,sopstvena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                 12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Видео бимови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1.Platno PL0102001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                  1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Табле:Интерактивне табле, електронске, магнетске, обичне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7.1. Tabla interaktivna elektronska 600064,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7.2. Tabla pokretna, 600231,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7.3. Tabla bela školska, 600031,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7.4. Tabla bela školska, 600035,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7.5. Tabla bela školska, 600153,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7.6.Tabla bela školska, 600165,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7.7.Tabla bela školska, 600172,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7.8.Tabla zelena školska, 600189,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7.9.Tabla zelena školska, 600196, 2017,sopstvena;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7.10.Tabla crna školska, 600218, 2017,sopstvena.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                10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Скенери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1. Скенер CANON 9000F,2016    SC010207сопствена; 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                  1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Штампачи</w:t>
            </w:r>
          </w:p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 xml:space="preserve">1.  ŠTAMPAČ CANON IR 2520,    2017.,   SC030801 </w:t>
            </w: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сопствена;2  ŠTAMPAČ CANON IRC50301, 2017.,  SC030802 сопствена;сопствена;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                   2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Фотокопир FK020115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                  1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GoToMeeting - платформа за даљинску комуникацију;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Softver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                 10 x 250</w:t>
            </w:r>
          </w:p>
        </w:tc>
      </w:tr>
      <w:tr w:rsidR="001254A8" w:rsidRPr="008322DB" w:rsidTr="000C13A1">
        <w:trPr>
          <w:gridAfter w:val="1"/>
          <w:wAfter w:w="900" w:type="dxa"/>
        </w:trPr>
        <w:tc>
          <w:tcPr>
            <w:tcW w:w="69" w:type="dxa"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254A8" w:rsidRPr="008322DB" w:rsidRDefault="001254A8" w:rsidP="001254A8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Google Meet - - платформа за даљинску комуникацију;</w:t>
            </w:r>
          </w:p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Softver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254A8" w:rsidRPr="008322DB" w:rsidRDefault="001254A8" w:rsidP="000C13A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322DB">
              <w:rPr>
                <w:rFonts w:ascii="Times New Roman" w:hAnsi="Times New Roman"/>
                <w:sz w:val="20"/>
                <w:szCs w:val="20"/>
                <w:lang/>
              </w:rPr>
              <w:t>20 x 300</w:t>
            </w:r>
          </w:p>
        </w:tc>
      </w:tr>
      <w:tr w:rsidR="001254A8" w:rsidRPr="008322DB" w:rsidTr="000C13A1">
        <w:tc>
          <w:tcPr>
            <w:tcW w:w="583" w:type="dxa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1254A8" w:rsidRPr="008322DB" w:rsidRDefault="001254A8" w:rsidP="000C13A1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86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4A8" w:rsidRPr="008322DB" w:rsidRDefault="001254A8" w:rsidP="000C13A1">
            <w:pPr>
              <w:shd w:val="clear" w:color="auto" w:fill="FFFFFF"/>
              <w:rPr>
                <w:rFonts w:ascii="Times New Roman" w:hAnsi="Times New Roman"/>
                <w:color w:val="222222"/>
                <w:sz w:val="20"/>
                <w:szCs w:val="20"/>
                <w:lang/>
              </w:rPr>
            </w:pPr>
          </w:p>
        </w:tc>
      </w:tr>
    </w:tbl>
    <w:p w:rsidR="00165ADD" w:rsidRDefault="00165ADD"/>
    <w:sectPr w:rsidR="00165ADD" w:rsidSect="001254A8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3E6"/>
    <w:multiLevelType w:val="hybridMultilevel"/>
    <w:tmpl w:val="151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1254A8"/>
    <w:rsid w:val="00064F67"/>
    <w:rsid w:val="001254A8"/>
    <w:rsid w:val="00165ADD"/>
    <w:rsid w:val="00277654"/>
    <w:rsid w:val="002C2E37"/>
    <w:rsid w:val="00366FD1"/>
    <w:rsid w:val="0057517F"/>
    <w:rsid w:val="00D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A8"/>
    <w:pPr>
      <w:suppressAutoHyphens/>
      <w:spacing w:after="200"/>
    </w:pPr>
    <w:rPr>
      <w:rFonts w:ascii="Calibri" w:eastAsia="Calibri" w:hAnsi="Calibri" w:cs="Times New Roman"/>
      <w:lang w:val="uz-Cyrl-UZ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2776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254A8"/>
  </w:style>
  <w:style w:type="character" w:customStyle="1" w:styleId="grid-name">
    <w:name w:val="grid-name"/>
    <w:rsid w:val="00125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usi.com/plasticna-spirala/359-multiperf-32-profesionalna-masina-za-koricen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usi.com/plasticna-spirala/359-multiperf-32-profesionalna-masina-za-koricenje.html" TargetMode="External"/><Relationship Id="rId5" Type="http://schemas.openxmlformats.org/officeDocument/2006/relationships/hyperlink" Target="http://gausi.com/plasticna-spirala/359-multiperf-32-profesionalna-masina-za-koricenj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2023-02-02T22:22:00Z</dcterms:created>
  <dcterms:modified xsi:type="dcterms:W3CDTF">2023-02-02T22:23:00Z</dcterms:modified>
</cp:coreProperties>
</file>